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Times New Roman" w:eastAsia="方正黑体_GBK"/>
          <w:sz w:val="32"/>
          <w:szCs w:val="32"/>
        </w:rPr>
      </w:pPr>
      <w:r>
        <w:rPr>
          <w:rFonts w:hint="eastAsia" w:ascii="方正黑体_GBK" w:hAnsi="Times New Roman" w:eastAsia="方正黑体_GBK"/>
          <w:sz w:val="32"/>
          <w:szCs w:val="32"/>
        </w:rPr>
        <w:t>附件</w:t>
      </w:r>
    </w:p>
    <w:p>
      <w:pPr>
        <w:adjustRightInd w:val="0"/>
        <w:snapToGrid w:val="0"/>
        <w:spacing w:before="240" w:after="240" w:line="5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常州市第二批市设行政权力清单</w:t>
      </w:r>
    </w:p>
    <w:tbl>
      <w:tblPr>
        <w:tblStyle w:val="3"/>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29"/>
        <w:gridCol w:w="1531"/>
        <w:gridCol w:w="1174"/>
        <w:gridCol w:w="2642"/>
        <w:gridCol w:w="5305"/>
        <w:gridCol w:w="1321"/>
        <w:gridCol w:w="15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5" w:hRule="atLeast"/>
          <w:tblHeader/>
          <w:jc w:val="center"/>
        </w:trPr>
        <w:tc>
          <w:tcPr>
            <w:tcW w:w="600" w:type="dxa"/>
            <w:vMerge w:val="restart"/>
            <w:shd w:val="clear" w:color="auto" w:fill="auto"/>
            <w:noWrap w:val="0"/>
            <w:vAlign w:val="center"/>
          </w:tcPr>
          <w:p>
            <w:pPr>
              <w:widowControl/>
              <w:spacing w:line="280" w:lineRule="exact"/>
              <w:ind w:left="-57" w:right="-57"/>
              <w:jc w:val="center"/>
              <w:rPr>
                <w:rFonts w:ascii="Times New Roman" w:hAnsi="Times New Roman" w:eastAsia="方正黑体_GBK"/>
                <w:color w:val="000000"/>
                <w:kern w:val="0"/>
                <w:szCs w:val="21"/>
              </w:rPr>
            </w:pPr>
            <w:r>
              <w:rPr>
                <w:rFonts w:ascii="Times New Roman" w:hAnsi="Times New Roman" w:eastAsia="方正黑体_GBK"/>
                <w:color w:val="000000"/>
                <w:kern w:val="0"/>
                <w:szCs w:val="21"/>
              </w:rPr>
              <w:t>序号</w:t>
            </w:r>
          </w:p>
        </w:tc>
        <w:tc>
          <w:tcPr>
            <w:tcW w:w="1460" w:type="dxa"/>
            <w:vMerge w:val="restart"/>
            <w:shd w:val="clear" w:color="auto" w:fill="auto"/>
            <w:noWrap w:val="0"/>
            <w:vAlign w:val="center"/>
          </w:tcPr>
          <w:p>
            <w:pPr>
              <w:widowControl/>
              <w:spacing w:line="280" w:lineRule="exact"/>
              <w:jc w:val="center"/>
              <w:rPr>
                <w:rFonts w:ascii="Times New Roman" w:hAnsi="Times New Roman" w:eastAsia="方正黑体_GBK"/>
                <w:color w:val="000000"/>
                <w:kern w:val="0"/>
                <w:szCs w:val="21"/>
              </w:rPr>
            </w:pPr>
            <w:r>
              <w:rPr>
                <w:rFonts w:ascii="Times New Roman" w:hAnsi="Times New Roman" w:eastAsia="方正黑体_GBK"/>
                <w:color w:val="000000"/>
                <w:kern w:val="0"/>
                <w:szCs w:val="21"/>
              </w:rPr>
              <w:t>权力部门</w:t>
            </w:r>
          </w:p>
        </w:tc>
        <w:tc>
          <w:tcPr>
            <w:tcW w:w="1120" w:type="dxa"/>
            <w:vMerge w:val="restart"/>
            <w:shd w:val="clear" w:color="auto" w:fill="auto"/>
            <w:noWrap w:val="0"/>
            <w:vAlign w:val="center"/>
          </w:tcPr>
          <w:p>
            <w:pPr>
              <w:widowControl/>
              <w:spacing w:line="280" w:lineRule="exact"/>
              <w:jc w:val="center"/>
              <w:rPr>
                <w:rFonts w:ascii="Times New Roman" w:hAnsi="Times New Roman" w:eastAsia="方正黑体_GBK"/>
                <w:color w:val="000000"/>
                <w:kern w:val="0"/>
                <w:szCs w:val="21"/>
              </w:rPr>
            </w:pPr>
            <w:r>
              <w:rPr>
                <w:rFonts w:ascii="Times New Roman" w:hAnsi="Times New Roman" w:eastAsia="方正黑体_GBK"/>
                <w:color w:val="000000"/>
                <w:kern w:val="0"/>
                <w:szCs w:val="21"/>
              </w:rPr>
              <w:t>权力类型</w:t>
            </w:r>
          </w:p>
        </w:tc>
        <w:tc>
          <w:tcPr>
            <w:tcW w:w="2520" w:type="dxa"/>
            <w:vMerge w:val="restart"/>
            <w:shd w:val="clear" w:color="auto" w:fill="auto"/>
            <w:noWrap w:val="0"/>
            <w:vAlign w:val="center"/>
          </w:tcPr>
          <w:p>
            <w:pPr>
              <w:widowControl/>
              <w:spacing w:line="280" w:lineRule="exact"/>
              <w:jc w:val="center"/>
              <w:rPr>
                <w:rFonts w:ascii="Times New Roman" w:hAnsi="Times New Roman" w:eastAsia="方正黑体_GBK"/>
                <w:color w:val="000000"/>
                <w:kern w:val="0"/>
                <w:szCs w:val="21"/>
              </w:rPr>
            </w:pPr>
            <w:r>
              <w:rPr>
                <w:rFonts w:ascii="Times New Roman" w:hAnsi="Times New Roman" w:eastAsia="方正黑体_GBK"/>
                <w:color w:val="000000"/>
                <w:kern w:val="0"/>
                <w:szCs w:val="21"/>
              </w:rPr>
              <w:t>事项名称</w:t>
            </w:r>
          </w:p>
        </w:tc>
        <w:tc>
          <w:tcPr>
            <w:tcW w:w="5060" w:type="dxa"/>
            <w:vMerge w:val="restart"/>
            <w:shd w:val="clear" w:color="auto" w:fill="auto"/>
            <w:noWrap w:val="0"/>
            <w:vAlign w:val="center"/>
          </w:tcPr>
          <w:p>
            <w:pPr>
              <w:widowControl/>
              <w:spacing w:line="280" w:lineRule="exact"/>
              <w:jc w:val="center"/>
              <w:rPr>
                <w:rFonts w:ascii="Times New Roman" w:hAnsi="Times New Roman" w:eastAsia="方正黑体_GBK"/>
                <w:color w:val="000000"/>
                <w:kern w:val="0"/>
                <w:szCs w:val="21"/>
              </w:rPr>
            </w:pPr>
            <w:r>
              <w:rPr>
                <w:rFonts w:ascii="Times New Roman" w:hAnsi="Times New Roman" w:eastAsia="方正黑体_GBK"/>
                <w:color w:val="000000"/>
                <w:kern w:val="0"/>
                <w:szCs w:val="21"/>
              </w:rPr>
              <w:t>设定依据</w:t>
            </w:r>
          </w:p>
        </w:tc>
        <w:tc>
          <w:tcPr>
            <w:tcW w:w="2760" w:type="dxa"/>
            <w:gridSpan w:val="2"/>
            <w:shd w:val="clear" w:color="auto" w:fill="auto"/>
            <w:noWrap w:val="0"/>
            <w:vAlign w:val="center"/>
          </w:tcPr>
          <w:p>
            <w:pPr>
              <w:widowControl/>
              <w:spacing w:line="280" w:lineRule="exact"/>
              <w:jc w:val="center"/>
              <w:rPr>
                <w:rFonts w:ascii="Times New Roman" w:hAnsi="Times New Roman" w:eastAsia="方正黑体_GBK"/>
                <w:color w:val="000000"/>
                <w:kern w:val="0"/>
                <w:szCs w:val="21"/>
              </w:rPr>
            </w:pPr>
            <w:r>
              <w:rPr>
                <w:rFonts w:ascii="Times New Roman" w:hAnsi="Times New Roman" w:eastAsia="方正黑体_GBK"/>
                <w:color w:val="000000"/>
                <w:kern w:val="0"/>
                <w:szCs w:val="21"/>
              </w:rPr>
              <w:t>行使层级和内容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blHeader/>
          <w:jc w:val="center"/>
        </w:trPr>
        <w:tc>
          <w:tcPr>
            <w:tcW w:w="600" w:type="dxa"/>
            <w:vMerge w:val="continue"/>
            <w:shd w:val="clear" w:color="auto" w:fill="auto"/>
            <w:noWrap w:val="0"/>
            <w:vAlign w:val="center"/>
          </w:tcPr>
          <w:p>
            <w:pPr>
              <w:widowControl/>
              <w:spacing w:line="280" w:lineRule="exact"/>
              <w:jc w:val="center"/>
              <w:rPr>
                <w:rFonts w:ascii="Times New Roman" w:hAnsi="Times New Roman" w:eastAsia="方正黑体_GBK"/>
                <w:color w:val="000000"/>
                <w:kern w:val="0"/>
                <w:szCs w:val="21"/>
              </w:rPr>
            </w:pPr>
          </w:p>
        </w:tc>
        <w:tc>
          <w:tcPr>
            <w:tcW w:w="1460" w:type="dxa"/>
            <w:vMerge w:val="continue"/>
            <w:shd w:val="clear" w:color="auto" w:fill="auto"/>
            <w:noWrap w:val="0"/>
            <w:vAlign w:val="center"/>
          </w:tcPr>
          <w:p>
            <w:pPr>
              <w:widowControl/>
              <w:spacing w:line="280" w:lineRule="exact"/>
              <w:jc w:val="center"/>
              <w:rPr>
                <w:rFonts w:ascii="Times New Roman" w:hAnsi="Times New Roman" w:eastAsia="方正黑体_GBK"/>
                <w:color w:val="000000"/>
                <w:kern w:val="0"/>
                <w:szCs w:val="21"/>
              </w:rPr>
            </w:pPr>
          </w:p>
        </w:tc>
        <w:tc>
          <w:tcPr>
            <w:tcW w:w="1120" w:type="dxa"/>
            <w:vMerge w:val="continue"/>
            <w:shd w:val="clear" w:color="auto" w:fill="auto"/>
            <w:noWrap w:val="0"/>
            <w:vAlign w:val="center"/>
          </w:tcPr>
          <w:p>
            <w:pPr>
              <w:widowControl/>
              <w:spacing w:line="280" w:lineRule="exact"/>
              <w:jc w:val="center"/>
              <w:rPr>
                <w:rFonts w:ascii="Times New Roman" w:hAnsi="Times New Roman" w:eastAsia="方正黑体_GBK"/>
                <w:color w:val="000000"/>
                <w:kern w:val="0"/>
                <w:szCs w:val="21"/>
              </w:rPr>
            </w:pPr>
          </w:p>
        </w:tc>
        <w:tc>
          <w:tcPr>
            <w:tcW w:w="2520" w:type="dxa"/>
            <w:vMerge w:val="continue"/>
            <w:shd w:val="clear" w:color="auto" w:fill="auto"/>
            <w:noWrap w:val="0"/>
            <w:vAlign w:val="center"/>
          </w:tcPr>
          <w:p>
            <w:pPr>
              <w:widowControl/>
              <w:spacing w:line="280" w:lineRule="exact"/>
              <w:rPr>
                <w:rFonts w:ascii="Times New Roman" w:hAnsi="Times New Roman" w:eastAsia="方正黑体_GBK"/>
                <w:color w:val="000000"/>
                <w:kern w:val="0"/>
                <w:szCs w:val="21"/>
              </w:rPr>
            </w:pPr>
          </w:p>
        </w:tc>
        <w:tc>
          <w:tcPr>
            <w:tcW w:w="5060" w:type="dxa"/>
            <w:vMerge w:val="continue"/>
            <w:shd w:val="clear" w:color="auto" w:fill="auto"/>
            <w:noWrap w:val="0"/>
            <w:vAlign w:val="center"/>
          </w:tcPr>
          <w:p>
            <w:pPr>
              <w:widowControl/>
              <w:spacing w:line="280" w:lineRule="exact"/>
              <w:rPr>
                <w:rFonts w:ascii="Times New Roman" w:hAnsi="Times New Roman" w:eastAsia="方正黑体_GBK"/>
                <w:color w:val="000000"/>
                <w:kern w:val="0"/>
                <w:szCs w:val="21"/>
              </w:rPr>
            </w:pPr>
          </w:p>
        </w:tc>
        <w:tc>
          <w:tcPr>
            <w:tcW w:w="1260" w:type="dxa"/>
            <w:shd w:val="clear" w:color="auto" w:fill="auto"/>
            <w:noWrap w:val="0"/>
            <w:vAlign w:val="center"/>
          </w:tcPr>
          <w:p>
            <w:pPr>
              <w:widowControl/>
              <w:spacing w:line="280" w:lineRule="exact"/>
              <w:jc w:val="center"/>
              <w:rPr>
                <w:rFonts w:ascii="Times New Roman" w:hAnsi="Times New Roman" w:eastAsia="方正黑体_GBK"/>
                <w:color w:val="000000"/>
                <w:kern w:val="0"/>
                <w:szCs w:val="21"/>
              </w:rPr>
            </w:pPr>
            <w:r>
              <w:rPr>
                <w:rFonts w:ascii="Times New Roman" w:hAnsi="Times New Roman" w:eastAsia="方正黑体_GBK"/>
                <w:color w:val="000000"/>
                <w:kern w:val="0"/>
                <w:szCs w:val="21"/>
              </w:rPr>
              <w:t>市级</w:t>
            </w:r>
          </w:p>
        </w:tc>
        <w:tc>
          <w:tcPr>
            <w:tcW w:w="1500" w:type="dxa"/>
            <w:shd w:val="clear" w:color="auto" w:fill="auto"/>
            <w:noWrap w:val="0"/>
            <w:vAlign w:val="center"/>
          </w:tcPr>
          <w:p>
            <w:pPr>
              <w:widowControl/>
              <w:spacing w:line="280" w:lineRule="exact"/>
              <w:jc w:val="center"/>
              <w:rPr>
                <w:rFonts w:ascii="Times New Roman" w:hAnsi="Times New Roman" w:eastAsia="方正黑体_GBK"/>
                <w:color w:val="000000"/>
                <w:kern w:val="0"/>
                <w:szCs w:val="21"/>
              </w:rPr>
            </w:pPr>
            <w:r>
              <w:rPr>
                <w:rFonts w:ascii="Times New Roman" w:hAnsi="Times New Roman" w:eastAsia="方正黑体_GBK"/>
                <w:color w:val="000000"/>
                <w:kern w:val="0"/>
                <w:szCs w:val="21"/>
              </w:rPr>
              <w:t>县级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90" w:hRule="atLeast"/>
          <w:jc w:val="center"/>
        </w:trPr>
        <w:tc>
          <w:tcPr>
            <w:tcW w:w="60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1</w:t>
            </w:r>
          </w:p>
        </w:tc>
        <w:tc>
          <w:tcPr>
            <w:tcW w:w="1460" w:type="dxa"/>
            <w:shd w:val="clear" w:color="auto" w:fill="auto"/>
            <w:noWrap w:val="0"/>
            <w:vAlign w:val="center"/>
          </w:tcPr>
          <w:p>
            <w:pPr>
              <w:widowControl/>
              <w:spacing w:line="280" w:lineRule="exact"/>
              <w:jc w:val="center"/>
              <w:rPr>
                <w:rFonts w:hint="eastAsia" w:ascii="Times New Roman" w:hAnsi="宋体"/>
                <w:color w:val="000000"/>
                <w:kern w:val="0"/>
                <w:szCs w:val="21"/>
              </w:rPr>
            </w:pPr>
            <w:r>
              <w:rPr>
                <w:rFonts w:ascii="Times New Roman" w:hAnsi="宋体"/>
                <w:color w:val="000000"/>
                <w:kern w:val="0"/>
                <w:szCs w:val="21"/>
              </w:rPr>
              <w:t>城市绿化</w:t>
            </w:r>
          </w:p>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主管部门</w:t>
            </w:r>
          </w:p>
        </w:tc>
        <w:tc>
          <w:tcPr>
            <w:tcW w:w="112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行政处罚</w:t>
            </w:r>
          </w:p>
        </w:tc>
        <w:tc>
          <w:tcPr>
            <w:tcW w:w="252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对新建住宅项目建设单位在绿化工程竣工后未在居住区显著位置永久公示绿地平面图的处罚</w:t>
            </w:r>
          </w:p>
        </w:tc>
        <w:tc>
          <w:tcPr>
            <w:tcW w:w="506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【地方性法规】</w:t>
            </w:r>
            <w:r>
              <w:rPr>
                <w:rFonts w:ascii="Times New Roman" w:hAnsi="Times New Roman"/>
                <w:color w:val="000000"/>
                <w:kern w:val="0"/>
                <w:szCs w:val="21"/>
              </w:rPr>
              <w:br w:type="textWrapping"/>
            </w:r>
            <w:r>
              <w:rPr>
                <w:rFonts w:ascii="Times New Roman" w:hAnsi="宋体"/>
                <w:color w:val="000000"/>
                <w:spacing w:val="-6"/>
                <w:kern w:val="0"/>
                <w:szCs w:val="21"/>
              </w:rPr>
              <w:t>《常州市城市绿化条例》第十四条第二款：新建住宅项目建设单位应当将绿化工程初步设计方案在该住宅项目销售处公示。绿化工程竣工后，建设单位应当在居住区显著位置永久公示绿地平面图。第三十四条：违反本条例第十四条第二款规定，绿化工程竣工后未在居住区显著位置永久公示绿地平面图的，由城市绿化主管部门责令限期改正；逾期不改正的，处二千元以上二万元以下罚款。</w:t>
            </w:r>
          </w:p>
        </w:tc>
        <w:tc>
          <w:tcPr>
            <w:tcW w:w="1260" w:type="dxa"/>
            <w:shd w:val="clear" w:color="auto" w:fill="auto"/>
            <w:noWrap w:val="0"/>
            <w:vAlign w:val="center"/>
          </w:tcPr>
          <w:p>
            <w:pPr>
              <w:widowControl/>
              <w:spacing w:line="280" w:lineRule="exact"/>
              <w:jc w:val="center"/>
              <w:rPr>
                <w:rFonts w:ascii="Times New Roman" w:hAnsi="Times New Roman"/>
                <w:color w:val="000000"/>
                <w:kern w:val="0"/>
                <w:szCs w:val="21"/>
              </w:rPr>
            </w:pPr>
          </w:p>
        </w:tc>
        <w:tc>
          <w:tcPr>
            <w:tcW w:w="1500" w:type="dxa"/>
            <w:shd w:val="clear" w:color="auto" w:fill="auto"/>
            <w:noWrap w:val="0"/>
            <w:vAlign w:val="center"/>
          </w:tcPr>
          <w:p>
            <w:pPr>
              <w:widowControl/>
              <w:adjustRightInd w:val="0"/>
              <w:snapToGrid w:val="0"/>
              <w:spacing w:line="280" w:lineRule="exact"/>
              <w:ind w:left="-57" w:right="-57"/>
              <w:rPr>
                <w:rFonts w:ascii="Times New Roman" w:hAnsi="Times New Roman"/>
                <w:color w:val="000000"/>
                <w:spacing w:val="-4"/>
                <w:kern w:val="0"/>
                <w:szCs w:val="21"/>
              </w:rPr>
            </w:pPr>
            <w:r>
              <w:rPr>
                <w:rFonts w:ascii="Times New Roman" w:hAnsi="宋体"/>
                <w:color w:val="000000"/>
                <w:spacing w:val="-4"/>
                <w:kern w:val="0"/>
                <w:szCs w:val="21"/>
              </w:rPr>
              <w:t>处二千元以上二万元以下罚款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0" w:hRule="atLeast"/>
          <w:jc w:val="center"/>
        </w:trPr>
        <w:tc>
          <w:tcPr>
            <w:tcW w:w="60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2</w:t>
            </w:r>
          </w:p>
        </w:tc>
        <w:tc>
          <w:tcPr>
            <w:tcW w:w="1460" w:type="dxa"/>
            <w:shd w:val="clear" w:color="auto" w:fill="auto"/>
            <w:noWrap w:val="0"/>
            <w:vAlign w:val="center"/>
          </w:tcPr>
          <w:p>
            <w:pPr>
              <w:widowControl/>
              <w:spacing w:line="280" w:lineRule="exact"/>
              <w:jc w:val="center"/>
              <w:rPr>
                <w:rFonts w:hint="eastAsia" w:ascii="Times New Roman" w:hAnsi="宋体"/>
                <w:color w:val="000000"/>
                <w:kern w:val="0"/>
                <w:szCs w:val="21"/>
              </w:rPr>
            </w:pPr>
            <w:r>
              <w:rPr>
                <w:rFonts w:ascii="Times New Roman" w:hAnsi="宋体"/>
                <w:color w:val="000000"/>
                <w:kern w:val="0"/>
                <w:szCs w:val="21"/>
              </w:rPr>
              <w:t>城市绿化</w:t>
            </w:r>
          </w:p>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主管部门</w:t>
            </w:r>
          </w:p>
        </w:tc>
        <w:tc>
          <w:tcPr>
            <w:tcW w:w="112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行政处罚</w:t>
            </w:r>
          </w:p>
        </w:tc>
        <w:tc>
          <w:tcPr>
            <w:tcW w:w="252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对具备绿化补建条件而未补建的处罚</w:t>
            </w:r>
          </w:p>
        </w:tc>
        <w:tc>
          <w:tcPr>
            <w:tcW w:w="506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【地方性法规】</w:t>
            </w:r>
            <w:r>
              <w:rPr>
                <w:rFonts w:ascii="Times New Roman" w:hAnsi="Times New Roman"/>
                <w:color w:val="000000"/>
                <w:kern w:val="0"/>
                <w:szCs w:val="21"/>
              </w:rPr>
              <w:br w:type="textWrapping"/>
            </w:r>
            <w:r>
              <w:rPr>
                <w:rFonts w:ascii="Times New Roman" w:hAnsi="宋体"/>
                <w:color w:val="000000"/>
                <w:kern w:val="0"/>
                <w:szCs w:val="21"/>
              </w:rPr>
              <w:t>《常州市城市绿化条例》第二十条第二款：改变城市绿地性质不得减少绿地总量。因城市规划调整减少绿地的，自然资源和规划主管部门应当就近规划增补同等面积的绿地。因城市基础设施建设依法占用绿地的，建设单位应当按照先补后占、占补平衡的原则，在所占绿地周边地区补建同等面积的绿地；不具备补建条件的，应当向城市绿化主管部门缴纳所在区域当年基准地价同等面积的费用和补建城市绿地实际所需费用，用于易地绿化建设，具体标准由市城市绿化主管部门会同市财政等部门制定。第三十五条：违反本条例第二十条第二款规定，具备补建绿地条件但未补建的，由城市绿化主管部门责令限期改正；逾期不改正的，按照所在区域同等面积当年基准地价一倍以上二倍以下处以罚款。</w:t>
            </w:r>
          </w:p>
        </w:tc>
        <w:tc>
          <w:tcPr>
            <w:tcW w:w="1260" w:type="dxa"/>
            <w:shd w:val="clear" w:color="auto" w:fill="auto"/>
            <w:noWrap w:val="0"/>
            <w:vAlign w:val="center"/>
          </w:tcPr>
          <w:p>
            <w:pPr>
              <w:widowControl/>
              <w:spacing w:line="280" w:lineRule="exact"/>
              <w:jc w:val="center"/>
              <w:rPr>
                <w:rFonts w:ascii="Times New Roman" w:hAnsi="Times New Roman"/>
                <w:color w:val="000000"/>
                <w:kern w:val="0"/>
                <w:szCs w:val="21"/>
              </w:rPr>
            </w:pPr>
          </w:p>
        </w:tc>
        <w:tc>
          <w:tcPr>
            <w:tcW w:w="150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按照所在区域同等面积当年基准地价一倍以上二倍以下处以罚款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90" w:hRule="atLeast"/>
          <w:jc w:val="center"/>
        </w:trPr>
        <w:tc>
          <w:tcPr>
            <w:tcW w:w="60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3</w:t>
            </w:r>
          </w:p>
        </w:tc>
        <w:tc>
          <w:tcPr>
            <w:tcW w:w="1460" w:type="dxa"/>
            <w:shd w:val="clear" w:color="auto" w:fill="auto"/>
            <w:noWrap w:val="0"/>
            <w:vAlign w:val="center"/>
          </w:tcPr>
          <w:p>
            <w:pPr>
              <w:widowControl/>
              <w:spacing w:line="280" w:lineRule="exact"/>
              <w:jc w:val="center"/>
              <w:rPr>
                <w:rFonts w:hint="eastAsia" w:ascii="Times New Roman" w:hAnsi="宋体"/>
                <w:color w:val="000000"/>
                <w:kern w:val="0"/>
                <w:szCs w:val="21"/>
              </w:rPr>
            </w:pPr>
            <w:r>
              <w:rPr>
                <w:rFonts w:ascii="Times New Roman" w:hAnsi="宋体"/>
                <w:color w:val="000000"/>
                <w:kern w:val="0"/>
                <w:szCs w:val="21"/>
              </w:rPr>
              <w:t>城市绿化</w:t>
            </w:r>
          </w:p>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主管部门</w:t>
            </w:r>
          </w:p>
        </w:tc>
        <w:tc>
          <w:tcPr>
            <w:tcW w:w="112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行政处罚</w:t>
            </w:r>
          </w:p>
        </w:tc>
        <w:tc>
          <w:tcPr>
            <w:tcW w:w="252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对绿地占用人临时占用绿地未设立告示牌的处罚</w:t>
            </w:r>
          </w:p>
        </w:tc>
        <w:tc>
          <w:tcPr>
            <w:tcW w:w="5060" w:type="dxa"/>
            <w:shd w:val="clear" w:color="auto" w:fill="auto"/>
            <w:noWrap w:val="0"/>
            <w:vAlign w:val="center"/>
          </w:tcPr>
          <w:p>
            <w:pPr>
              <w:widowControl/>
              <w:spacing w:line="270" w:lineRule="exact"/>
              <w:rPr>
                <w:rFonts w:ascii="Times New Roman" w:hAnsi="Times New Roman"/>
                <w:color w:val="000000"/>
                <w:kern w:val="0"/>
                <w:szCs w:val="21"/>
              </w:rPr>
            </w:pPr>
            <w:r>
              <w:rPr>
                <w:rFonts w:ascii="Times New Roman" w:hAnsi="宋体"/>
                <w:color w:val="000000"/>
                <w:kern w:val="0"/>
                <w:szCs w:val="21"/>
              </w:rPr>
              <w:t>【地方性法规】</w:t>
            </w:r>
            <w:r>
              <w:rPr>
                <w:rFonts w:ascii="Times New Roman" w:hAnsi="Times New Roman"/>
                <w:color w:val="000000"/>
                <w:kern w:val="0"/>
                <w:szCs w:val="21"/>
              </w:rPr>
              <w:br w:type="textWrapping"/>
            </w:r>
            <w:r>
              <w:rPr>
                <w:rFonts w:ascii="Times New Roman" w:hAnsi="宋体"/>
                <w:color w:val="000000"/>
                <w:kern w:val="0"/>
                <w:szCs w:val="21"/>
              </w:rPr>
              <w:t>《常州市城市绿化条例》第二十一条第一款：任何单位和个人不得擅自占用城市绿地。因城市建设或者其他特殊原因需要临时占用城市绿地的，应当经城市绿化主管部门同意，按照有关规定办理临时用地手续，缴纳相关费用。绿地占用人应当在被占用城市绿地四周显著位置设立告示牌。第三十六条第一款：违反本条例第二十一条第一款规定，临时占用绿地未设立告示牌的，由城市绿化主管部门责令限期改正；逾期不改正的，处一千元以上五千元以下罚款。</w:t>
            </w:r>
          </w:p>
        </w:tc>
        <w:tc>
          <w:tcPr>
            <w:tcW w:w="1260" w:type="dxa"/>
            <w:shd w:val="clear" w:color="auto" w:fill="auto"/>
            <w:noWrap w:val="0"/>
            <w:vAlign w:val="center"/>
          </w:tcPr>
          <w:p>
            <w:pPr>
              <w:widowControl/>
              <w:spacing w:line="280" w:lineRule="exact"/>
              <w:jc w:val="center"/>
              <w:rPr>
                <w:rFonts w:ascii="Times New Roman" w:hAnsi="Times New Roman"/>
                <w:color w:val="000000"/>
                <w:kern w:val="0"/>
                <w:szCs w:val="21"/>
              </w:rPr>
            </w:pPr>
          </w:p>
        </w:tc>
        <w:tc>
          <w:tcPr>
            <w:tcW w:w="1500" w:type="dxa"/>
            <w:shd w:val="clear" w:color="auto" w:fill="auto"/>
            <w:noWrap w:val="0"/>
            <w:vAlign w:val="center"/>
          </w:tcPr>
          <w:p>
            <w:pPr>
              <w:widowControl/>
              <w:adjustRightInd w:val="0"/>
              <w:snapToGrid w:val="0"/>
              <w:spacing w:line="280" w:lineRule="exact"/>
              <w:ind w:left="-57" w:right="-57"/>
              <w:rPr>
                <w:rFonts w:ascii="Times New Roman" w:hAnsi="宋体"/>
                <w:color w:val="000000"/>
                <w:spacing w:val="-4"/>
                <w:kern w:val="0"/>
                <w:szCs w:val="21"/>
              </w:rPr>
            </w:pPr>
            <w:r>
              <w:rPr>
                <w:rFonts w:ascii="Times New Roman" w:hAnsi="宋体"/>
                <w:color w:val="000000"/>
                <w:spacing w:val="-4"/>
                <w:kern w:val="0"/>
                <w:szCs w:val="21"/>
              </w:rPr>
              <w:t>处一千元以上五千元以下罚款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90" w:hRule="atLeast"/>
          <w:jc w:val="center"/>
        </w:trPr>
        <w:tc>
          <w:tcPr>
            <w:tcW w:w="60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4</w:t>
            </w:r>
          </w:p>
        </w:tc>
        <w:tc>
          <w:tcPr>
            <w:tcW w:w="1460" w:type="dxa"/>
            <w:shd w:val="clear" w:color="auto" w:fill="auto"/>
            <w:noWrap w:val="0"/>
            <w:vAlign w:val="center"/>
          </w:tcPr>
          <w:p>
            <w:pPr>
              <w:widowControl/>
              <w:spacing w:line="280" w:lineRule="exact"/>
              <w:jc w:val="center"/>
              <w:rPr>
                <w:rFonts w:hint="eastAsia" w:ascii="Times New Roman" w:hAnsi="宋体"/>
                <w:color w:val="000000"/>
                <w:kern w:val="0"/>
                <w:szCs w:val="21"/>
              </w:rPr>
            </w:pPr>
            <w:r>
              <w:rPr>
                <w:rFonts w:ascii="Times New Roman" w:hAnsi="宋体"/>
                <w:color w:val="000000"/>
                <w:kern w:val="0"/>
                <w:szCs w:val="21"/>
              </w:rPr>
              <w:t>城市绿化</w:t>
            </w:r>
          </w:p>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主管部门</w:t>
            </w:r>
          </w:p>
        </w:tc>
        <w:tc>
          <w:tcPr>
            <w:tcW w:w="112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行政处罚</w:t>
            </w:r>
          </w:p>
        </w:tc>
        <w:tc>
          <w:tcPr>
            <w:tcW w:w="252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对临时占用绿地期限届满未恢复绿地原状的处罚</w:t>
            </w:r>
          </w:p>
        </w:tc>
        <w:tc>
          <w:tcPr>
            <w:tcW w:w="5060" w:type="dxa"/>
            <w:shd w:val="clear" w:color="auto" w:fill="auto"/>
            <w:noWrap w:val="0"/>
            <w:vAlign w:val="center"/>
          </w:tcPr>
          <w:p>
            <w:pPr>
              <w:widowControl/>
              <w:spacing w:line="270" w:lineRule="exact"/>
              <w:rPr>
                <w:rFonts w:ascii="Times New Roman" w:hAnsi="Times New Roman"/>
                <w:color w:val="000000"/>
                <w:kern w:val="0"/>
                <w:szCs w:val="21"/>
              </w:rPr>
            </w:pPr>
            <w:r>
              <w:rPr>
                <w:rFonts w:ascii="Times New Roman" w:hAnsi="宋体"/>
                <w:color w:val="000000"/>
                <w:kern w:val="0"/>
                <w:szCs w:val="21"/>
              </w:rPr>
              <w:t>【地方性法规】</w:t>
            </w:r>
            <w:r>
              <w:rPr>
                <w:rFonts w:ascii="Times New Roman" w:hAnsi="Times New Roman"/>
                <w:color w:val="000000"/>
                <w:kern w:val="0"/>
                <w:szCs w:val="21"/>
              </w:rPr>
              <w:br w:type="textWrapping"/>
            </w:r>
            <w:r>
              <w:rPr>
                <w:rFonts w:ascii="Times New Roman" w:hAnsi="宋体"/>
                <w:color w:val="000000"/>
                <w:spacing w:val="-4"/>
                <w:kern w:val="0"/>
                <w:szCs w:val="21"/>
              </w:rPr>
              <w:t>《常州市城市绿化条例》第二十一条第二款：临时占用城市绿地期限不得超过一年；确需延长的，应当办理延期手续，延长期限不得超过一年。临时占用期限届满前，应当清理现场，恢复绿地原状。第三十六条第二款：违反本条例第二十一条第二款规定，临时占用绿地期限届满未恢复绿地原状的，由城市绿化主管部门责令限期改正，可以处所占绿地面积每平方米五百元以上一千元以下罚款。</w:t>
            </w:r>
          </w:p>
        </w:tc>
        <w:tc>
          <w:tcPr>
            <w:tcW w:w="1260" w:type="dxa"/>
            <w:shd w:val="clear" w:color="auto" w:fill="auto"/>
            <w:noWrap w:val="0"/>
            <w:vAlign w:val="center"/>
          </w:tcPr>
          <w:p>
            <w:pPr>
              <w:widowControl/>
              <w:spacing w:line="280" w:lineRule="exact"/>
              <w:jc w:val="center"/>
              <w:rPr>
                <w:rFonts w:ascii="Times New Roman" w:hAnsi="Times New Roman"/>
                <w:color w:val="000000"/>
                <w:kern w:val="0"/>
                <w:szCs w:val="21"/>
              </w:rPr>
            </w:pPr>
          </w:p>
        </w:tc>
        <w:tc>
          <w:tcPr>
            <w:tcW w:w="150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处所占绿地面积每平方米五百元以上一千元以下罚款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0" w:hRule="atLeast"/>
          <w:jc w:val="center"/>
        </w:trPr>
        <w:tc>
          <w:tcPr>
            <w:tcW w:w="60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5</w:t>
            </w:r>
          </w:p>
        </w:tc>
        <w:tc>
          <w:tcPr>
            <w:tcW w:w="1460" w:type="dxa"/>
            <w:shd w:val="clear" w:color="auto" w:fill="auto"/>
            <w:noWrap w:val="0"/>
            <w:vAlign w:val="center"/>
          </w:tcPr>
          <w:p>
            <w:pPr>
              <w:widowControl/>
              <w:spacing w:line="280" w:lineRule="exact"/>
              <w:jc w:val="center"/>
              <w:rPr>
                <w:rFonts w:hint="eastAsia" w:ascii="Times New Roman" w:hAnsi="宋体"/>
                <w:color w:val="000000"/>
                <w:kern w:val="0"/>
                <w:szCs w:val="21"/>
              </w:rPr>
            </w:pPr>
            <w:r>
              <w:rPr>
                <w:rFonts w:ascii="Times New Roman" w:hAnsi="宋体"/>
                <w:color w:val="000000"/>
                <w:kern w:val="0"/>
                <w:szCs w:val="21"/>
              </w:rPr>
              <w:t>城市绿化</w:t>
            </w:r>
          </w:p>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主管部门</w:t>
            </w:r>
          </w:p>
        </w:tc>
        <w:tc>
          <w:tcPr>
            <w:tcW w:w="112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行政处罚</w:t>
            </w:r>
          </w:p>
        </w:tc>
        <w:tc>
          <w:tcPr>
            <w:tcW w:w="252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对绿化管理责任人未按照规定履行绿化管理职责的处罚</w:t>
            </w:r>
          </w:p>
        </w:tc>
        <w:tc>
          <w:tcPr>
            <w:tcW w:w="5060" w:type="dxa"/>
            <w:shd w:val="clear" w:color="auto" w:fill="auto"/>
            <w:noWrap w:val="0"/>
            <w:vAlign w:val="center"/>
          </w:tcPr>
          <w:p>
            <w:pPr>
              <w:widowControl/>
              <w:spacing w:line="270" w:lineRule="exact"/>
              <w:rPr>
                <w:rFonts w:ascii="Times New Roman" w:hAnsi="Times New Roman"/>
                <w:color w:val="000000"/>
                <w:kern w:val="0"/>
                <w:szCs w:val="21"/>
              </w:rPr>
            </w:pPr>
            <w:r>
              <w:rPr>
                <w:rFonts w:ascii="Times New Roman" w:hAnsi="宋体"/>
                <w:color w:val="000000"/>
                <w:kern w:val="0"/>
                <w:szCs w:val="21"/>
              </w:rPr>
              <w:t>【地方性法规】</w:t>
            </w:r>
            <w:r>
              <w:rPr>
                <w:rFonts w:ascii="Times New Roman" w:hAnsi="Times New Roman"/>
                <w:color w:val="000000"/>
                <w:kern w:val="0"/>
                <w:szCs w:val="21"/>
              </w:rPr>
              <w:br w:type="textWrapping"/>
            </w:r>
            <w:r>
              <w:rPr>
                <w:rFonts w:ascii="Times New Roman" w:hAnsi="宋体"/>
                <w:color w:val="000000"/>
                <w:kern w:val="0"/>
                <w:szCs w:val="21"/>
              </w:rPr>
              <w:t>《常州市城市绿化条例》第二十四条第一款第一项至第三项：第二十四条</w:t>
            </w:r>
            <w:r>
              <w:rPr>
                <w:rFonts w:ascii="Times New Roman" w:hAnsi="Times New Roman"/>
                <w:color w:val="000000"/>
                <w:kern w:val="0"/>
                <w:szCs w:val="21"/>
              </w:rPr>
              <w:t xml:space="preserve">  </w:t>
            </w:r>
            <w:r>
              <w:rPr>
                <w:rFonts w:ascii="Times New Roman" w:hAnsi="宋体"/>
                <w:color w:val="000000"/>
                <w:kern w:val="0"/>
                <w:szCs w:val="21"/>
              </w:rPr>
              <w:t>绿化管理责任人应当履行下列职责：（一）按照城市绿化养护相关标准和技术规范实施浇灌、施肥、修剪、病虫害防治、绿化设施日常维护等，并做好绿化废弃物的处置；（二）植物死亡的，及时予以补植；（三）建立安全检查制度，避免树木妨碍交通，危害建筑物、相关设施和人身安全。第三十七条第一款：违反本条例第二十四条第一款第一项至第三项规定，绿化管理责任人未按照规定履行绿化管理职责的，由城市绿化主管部门责令限期改正；逾期不改正的，处一千元以上五千元以下罚款。</w:t>
            </w:r>
          </w:p>
        </w:tc>
        <w:tc>
          <w:tcPr>
            <w:tcW w:w="1260" w:type="dxa"/>
            <w:shd w:val="clear" w:color="auto" w:fill="auto"/>
            <w:noWrap w:val="0"/>
            <w:vAlign w:val="center"/>
          </w:tcPr>
          <w:p>
            <w:pPr>
              <w:widowControl/>
              <w:spacing w:line="280" w:lineRule="exact"/>
              <w:jc w:val="center"/>
              <w:rPr>
                <w:rFonts w:ascii="Times New Roman" w:hAnsi="Times New Roman"/>
                <w:color w:val="000000"/>
                <w:kern w:val="0"/>
                <w:szCs w:val="21"/>
              </w:rPr>
            </w:pPr>
          </w:p>
        </w:tc>
        <w:tc>
          <w:tcPr>
            <w:tcW w:w="1500" w:type="dxa"/>
            <w:shd w:val="clear" w:color="auto" w:fill="auto"/>
            <w:noWrap w:val="0"/>
            <w:vAlign w:val="center"/>
          </w:tcPr>
          <w:p>
            <w:pPr>
              <w:widowControl/>
              <w:adjustRightInd w:val="0"/>
              <w:snapToGrid w:val="0"/>
              <w:spacing w:line="280" w:lineRule="exact"/>
              <w:ind w:left="-57" w:right="-57"/>
              <w:rPr>
                <w:rFonts w:ascii="Times New Roman" w:hAnsi="宋体"/>
                <w:color w:val="000000"/>
                <w:spacing w:val="-4"/>
                <w:kern w:val="0"/>
                <w:szCs w:val="21"/>
              </w:rPr>
            </w:pPr>
            <w:r>
              <w:rPr>
                <w:rFonts w:ascii="Times New Roman" w:hAnsi="宋体"/>
                <w:color w:val="000000"/>
                <w:spacing w:val="-4"/>
                <w:kern w:val="0"/>
                <w:szCs w:val="21"/>
              </w:rPr>
              <w:t>处一千元以上五千元以下罚款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90" w:hRule="atLeast"/>
          <w:jc w:val="center"/>
        </w:trPr>
        <w:tc>
          <w:tcPr>
            <w:tcW w:w="60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6</w:t>
            </w:r>
          </w:p>
        </w:tc>
        <w:tc>
          <w:tcPr>
            <w:tcW w:w="1460" w:type="dxa"/>
            <w:shd w:val="clear" w:color="auto" w:fill="auto"/>
            <w:noWrap w:val="0"/>
            <w:vAlign w:val="center"/>
          </w:tcPr>
          <w:p>
            <w:pPr>
              <w:widowControl/>
              <w:spacing w:line="280" w:lineRule="exact"/>
              <w:jc w:val="center"/>
              <w:rPr>
                <w:rFonts w:hint="eastAsia" w:ascii="Times New Roman" w:hAnsi="宋体"/>
                <w:color w:val="000000"/>
                <w:kern w:val="0"/>
                <w:szCs w:val="21"/>
              </w:rPr>
            </w:pPr>
            <w:r>
              <w:rPr>
                <w:rFonts w:ascii="Times New Roman" w:hAnsi="宋体"/>
                <w:color w:val="000000"/>
                <w:kern w:val="0"/>
                <w:szCs w:val="21"/>
              </w:rPr>
              <w:t>城市绿化</w:t>
            </w:r>
          </w:p>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主管部门</w:t>
            </w:r>
          </w:p>
        </w:tc>
        <w:tc>
          <w:tcPr>
            <w:tcW w:w="112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行政处罚</w:t>
            </w:r>
          </w:p>
        </w:tc>
        <w:tc>
          <w:tcPr>
            <w:tcW w:w="252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对公园管理责任人未在公园绿地主要出入口显著位置公示公园管理规定或者未在公园危险区域设置警示标识的处罚</w:t>
            </w:r>
          </w:p>
        </w:tc>
        <w:tc>
          <w:tcPr>
            <w:tcW w:w="5060" w:type="dxa"/>
            <w:shd w:val="clear" w:color="auto" w:fill="auto"/>
            <w:noWrap w:val="0"/>
            <w:vAlign w:val="center"/>
          </w:tcPr>
          <w:p>
            <w:pPr>
              <w:widowControl/>
              <w:spacing w:line="260" w:lineRule="exact"/>
              <w:rPr>
                <w:rFonts w:ascii="Times New Roman" w:hAnsi="Times New Roman"/>
                <w:color w:val="000000"/>
                <w:kern w:val="0"/>
                <w:szCs w:val="21"/>
              </w:rPr>
            </w:pPr>
            <w:r>
              <w:rPr>
                <w:rFonts w:ascii="Times New Roman" w:hAnsi="宋体"/>
                <w:color w:val="000000"/>
                <w:kern w:val="0"/>
                <w:szCs w:val="21"/>
              </w:rPr>
              <w:t>【地方性法规】</w:t>
            </w:r>
            <w:r>
              <w:rPr>
                <w:rFonts w:ascii="Times New Roman" w:hAnsi="Times New Roman"/>
                <w:color w:val="000000"/>
                <w:kern w:val="0"/>
                <w:szCs w:val="21"/>
              </w:rPr>
              <w:br w:type="textWrapping"/>
            </w:r>
            <w:r>
              <w:rPr>
                <w:rFonts w:ascii="Times New Roman" w:hAnsi="宋体"/>
                <w:color w:val="000000"/>
                <w:kern w:val="0"/>
                <w:szCs w:val="21"/>
              </w:rPr>
              <w:t>《常州市城市绿化条例》第二十四条第二款：公园管理责任人应当在公园绿地主要出入口显著位置公示公园管理规定，在公园危险区域设置警示标识。第三十七条第二款：违反本条例第二十四条第二款规定，公园管理责任人未在公园绿地主要出入口显著位置公示公园管理规定，或者未在公园危险区域设置警示标识的，由城市绿化主管部门责令限期改正；逾期不改正的，处一千元以上五千元以下罚款。</w:t>
            </w:r>
          </w:p>
        </w:tc>
        <w:tc>
          <w:tcPr>
            <w:tcW w:w="1260" w:type="dxa"/>
            <w:shd w:val="clear" w:color="auto" w:fill="auto"/>
            <w:noWrap w:val="0"/>
            <w:vAlign w:val="center"/>
          </w:tcPr>
          <w:p>
            <w:pPr>
              <w:widowControl/>
              <w:spacing w:line="280" w:lineRule="exact"/>
              <w:jc w:val="center"/>
              <w:rPr>
                <w:rFonts w:ascii="Times New Roman" w:hAnsi="Times New Roman"/>
                <w:color w:val="000000"/>
                <w:kern w:val="0"/>
                <w:szCs w:val="21"/>
              </w:rPr>
            </w:pPr>
          </w:p>
        </w:tc>
        <w:tc>
          <w:tcPr>
            <w:tcW w:w="1500" w:type="dxa"/>
            <w:shd w:val="clear" w:color="auto" w:fill="auto"/>
            <w:noWrap w:val="0"/>
            <w:vAlign w:val="center"/>
          </w:tcPr>
          <w:p>
            <w:pPr>
              <w:widowControl/>
              <w:adjustRightInd w:val="0"/>
              <w:snapToGrid w:val="0"/>
              <w:spacing w:line="280" w:lineRule="exact"/>
              <w:ind w:left="-57" w:right="-57"/>
              <w:rPr>
                <w:rFonts w:ascii="Times New Roman" w:hAnsi="宋体"/>
                <w:color w:val="000000"/>
                <w:spacing w:val="-4"/>
                <w:kern w:val="0"/>
                <w:szCs w:val="21"/>
              </w:rPr>
            </w:pPr>
            <w:r>
              <w:rPr>
                <w:rFonts w:ascii="Times New Roman" w:hAnsi="宋体"/>
                <w:color w:val="000000"/>
                <w:spacing w:val="-4"/>
                <w:kern w:val="0"/>
                <w:szCs w:val="21"/>
              </w:rPr>
              <w:t>处一千元以上五千元以下罚款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60" w:hRule="atLeast"/>
          <w:jc w:val="center"/>
        </w:trPr>
        <w:tc>
          <w:tcPr>
            <w:tcW w:w="60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7</w:t>
            </w:r>
          </w:p>
        </w:tc>
        <w:tc>
          <w:tcPr>
            <w:tcW w:w="1460" w:type="dxa"/>
            <w:shd w:val="clear" w:color="auto" w:fill="auto"/>
            <w:noWrap w:val="0"/>
            <w:vAlign w:val="center"/>
          </w:tcPr>
          <w:p>
            <w:pPr>
              <w:widowControl/>
              <w:spacing w:line="280" w:lineRule="exact"/>
              <w:jc w:val="center"/>
              <w:rPr>
                <w:rFonts w:hint="eastAsia" w:ascii="Times New Roman" w:hAnsi="宋体"/>
                <w:color w:val="000000"/>
                <w:kern w:val="0"/>
                <w:szCs w:val="21"/>
              </w:rPr>
            </w:pPr>
            <w:r>
              <w:rPr>
                <w:rFonts w:ascii="Times New Roman" w:hAnsi="宋体"/>
                <w:color w:val="000000"/>
                <w:kern w:val="0"/>
                <w:szCs w:val="21"/>
              </w:rPr>
              <w:t>城市绿化</w:t>
            </w:r>
          </w:p>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主管部门</w:t>
            </w:r>
          </w:p>
        </w:tc>
        <w:tc>
          <w:tcPr>
            <w:tcW w:w="112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行政处罚</w:t>
            </w:r>
          </w:p>
        </w:tc>
        <w:tc>
          <w:tcPr>
            <w:tcW w:w="252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对损害城市绿化的处罚</w:t>
            </w:r>
          </w:p>
        </w:tc>
        <w:tc>
          <w:tcPr>
            <w:tcW w:w="5060" w:type="dxa"/>
            <w:shd w:val="clear" w:color="auto" w:fill="auto"/>
            <w:noWrap w:val="0"/>
            <w:vAlign w:val="center"/>
          </w:tcPr>
          <w:p>
            <w:pPr>
              <w:widowControl/>
              <w:spacing w:line="260" w:lineRule="exact"/>
              <w:rPr>
                <w:rFonts w:ascii="Times New Roman" w:hAnsi="Times New Roman"/>
                <w:color w:val="000000"/>
                <w:kern w:val="0"/>
                <w:szCs w:val="21"/>
              </w:rPr>
            </w:pPr>
            <w:r>
              <w:rPr>
                <w:rFonts w:ascii="Times New Roman" w:hAnsi="宋体"/>
                <w:color w:val="000000"/>
                <w:kern w:val="0"/>
                <w:szCs w:val="21"/>
              </w:rPr>
              <w:t>【地方性法规】</w:t>
            </w:r>
            <w:r>
              <w:rPr>
                <w:rFonts w:ascii="Times New Roman" w:hAnsi="Times New Roman"/>
                <w:color w:val="000000"/>
                <w:kern w:val="0"/>
                <w:szCs w:val="21"/>
              </w:rPr>
              <w:br w:type="textWrapping"/>
            </w:r>
            <w:r>
              <w:rPr>
                <w:rFonts w:ascii="Times New Roman" w:hAnsi="宋体"/>
                <w:color w:val="000000"/>
                <w:kern w:val="0"/>
                <w:szCs w:val="21"/>
              </w:rPr>
              <w:t>《常州市城市绿化条例》第二十九条</w:t>
            </w:r>
            <w:r>
              <w:rPr>
                <w:rFonts w:ascii="Times New Roman" w:hAnsi="Times New Roman"/>
                <w:color w:val="000000"/>
                <w:kern w:val="0"/>
                <w:szCs w:val="21"/>
              </w:rPr>
              <w:t xml:space="preserve">  </w:t>
            </w:r>
            <w:r>
              <w:rPr>
                <w:rFonts w:ascii="Times New Roman" w:hAnsi="宋体"/>
                <w:color w:val="000000"/>
                <w:kern w:val="0"/>
                <w:szCs w:val="21"/>
              </w:rPr>
              <w:t>禁止下列损害城市绿化的行为：</w:t>
            </w:r>
            <w:r>
              <w:rPr>
                <w:rFonts w:ascii="Times New Roman" w:hAnsi="Times New Roman"/>
                <w:color w:val="000000"/>
                <w:kern w:val="0"/>
                <w:szCs w:val="21"/>
              </w:rPr>
              <w:br w:type="textWrapping"/>
            </w:r>
            <w:r>
              <w:rPr>
                <w:rFonts w:ascii="Times New Roman" w:hAnsi="宋体"/>
                <w:color w:val="000000"/>
                <w:kern w:val="0"/>
                <w:szCs w:val="21"/>
              </w:rPr>
              <w:t>（一）在树木上刻划、钉钉或者擅自拴挂；</w:t>
            </w:r>
            <w:r>
              <w:rPr>
                <w:rFonts w:ascii="Times New Roman" w:hAnsi="Times New Roman"/>
                <w:color w:val="000000"/>
                <w:kern w:val="0"/>
                <w:szCs w:val="21"/>
              </w:rPr>
              <w:br w:type="textWrapping"/>
            </w:r>
            <w:r>
              <w:rPr>
                <w:rFonts w:ascii="Times New Roman" w:hAnsi="宋体"/>
                <w:color w:val="000000"/>
                <w:kern w:val="0"/>
                <w:szCs w:val="21"/>
              </w:rPr>
              <w:t>（二）采花摘果、攀折树枝、窃取花草树木</w:t>
            </w:r>
            <w:r>
              <w:rPr>
                <w:rFonts w:ascii="Times New Roman" w:hAnsi="Times New Roman"/>
                <w:color w:val="000000"/>
                <w:kern w:val="0"/>
                <w:szCs w:val="21"/>
              </w:rPr>
              <w:t>;</w:t>
            </w:r>
            <w:r>
              <w:rPr>
                <w:rFonts w:ascii="Times New Roman" w:hAnsi="Times New Roman"/>
                <w:color w:val="000000"/>
                <w:kern w:val="0"/>
                <w:szCs w:val="21"/>
              </w:rPr>
              <w:br w:type="textWrapping"/>
            </w:r>
            <w:r>
              <w:rPr>
                <w:rFonts w:ascii="Times New Roman" w:hAnsi="宋体"/>
                <w:color w:val="000000"/>
                <w:kern w:val="0"/>
                <w:szCs w:val="21"/>
              </w:rPr>
              <w:t>（三）在树旁和绿地内倾倒垃圾、热水或者硬化树穴、树池；</w:t>
            </w:r>
            <w:r>
              <w:rPr>
                <w:rFonts w:ascii="Times New Roman" w:hAnsi="Times New Roman"/>
                <w:color w:val="000000"/>
                <w:kern w:val="0"/>
                <w:szCs w:val="21"/>
              </w:rPr>
              <w:br w:type="textWrapping"/>
            </w:r>
            <w:r>
              <w:rPr>
                <w:rFonts w:ascii="Times New Roman" w:hAnsi="宋体"/>
                <w:color w:val="000000"/>
                <w:kern w:val="0"/>
                <w:szCs w:val="21"/>
              </w:rPr>
              <w:t>（四）在绿地内焚烧或者擅自取土、堆物；</w:t>
            </w:r>
            <w:r>
              <w:rPr>
                <w:rFonts w:ascii="Times New Roman" w:hAnsi="Times New Roman"/>
                <w:color w:val="000000"/>
                <w:kern w:val="0"/>
                <w:szCs w:val="21"/>
              </w:rPr>
              <w:br w:type="textWrapping"/>
            </w:r>
            <w:r>
              <w:rPr>
                <w:rFonts w:ascii="Times New Roman" w:hAnsi="宋体"/>
                <w:color w:val="000000"/>
                <w:kern w:val="0"/>
                <w:szCs w:val="21"/>
              </w:rPr>
              <w:t>（五）擅自在绿地内种植或者放生、饲养、投喂动物；</w:t>
            </w:r>
            <w:r>
              <w:rPr>
                <w:rFonts w:ascii="Times New Roman" w:hAnsi="Times New Roman"/>
                <w:color w:val="000000"/>
                <w:kern w:val="0"/>
                <w:szCs w:val="21"/>
              </w:rPr>
              <w:br w:type="textWrapping"/>
            </w:r>
            <w:r>
              <w:rPr>
                <w:rFonts w:ascii="Times New Roman" w:hAnsi="宋体"/>
                <w:color w:val="000000"/>
                <w:kern w:val="0"/>
                <w:szCs w:val="21"/>
              </w:rPr>
              <w:t>（六）擅自在绿地内停放车辆；</w:t>
            </w:r>
            <w:r>
              <w:rPr>
                <w:rFonts w:ascii="Times New Roman" w:hAnsi="Times New Roman"/>
                <w:color w:val="000000"/>
                <w:kern w:val="0"/>
                <w:szCs w:val="21"/>
              </w:rPr>
              <w:br w:type="textWrapping"/>
            </w:r>
            <w:r>
              <w:rPr>
                <w:rFonts w:ascii="Times New Roman" w:hAnsi="宋体"/>
                <w:color w:val="000000"/>
                <w:kern w:val="0"/>
                <w:szCs w:val="21"/>
              </w:rPr>
              <w:t>（七）擅自在绿地内露营、烧烤、搭建；</w:t>
            </w:r>
            <w:r>
              <w:rPr>
                <w:rFonts w:ascii="Times New Roman" w:hAnsi="Times New Roman"/>
                <w:color w:val="000000"/>
                <w:kern w:val="0"/>
                <w:szCs w:val="21"/>
              </w:rPr>
              <w:br w:type="textWrapping"/>
            </w:r>
            <w:r>
              <w:rPr>
                <w:rFonts w:ascii="Times New Roman" w:hAnsi="宋体"/>
                <w:color w:val="000000"/>
                <w:kern w:val="0"/>
                <w:szCs w:val="21"/>
              </w:rPr>
              <w:t>（八）擅自在绿地内举办展览、宣传、演出、影视剧拍摄、商业摄影活动；</w:t>
            </w:r>
            <w:r>
              <w:rPr>
                <w:rFonts w:ascii="Times New Roman" w:hAnsi="Times New Roman"/>
                <w:color w:val="000000"/>
                <w:kern w:val="0"/>
                <w:szCs w:val="21"/>
              </w:rPr>
              <w:br w:type="textWrapping"/>
            </w:r>
            <w:r>
              <w:rPr>
                <w:rFonts w:ascii="Times New Roman" w:hAnsi="宋体"/>
                <w:color w:val="000000"/>
                <w:kern w:val="0"/>
                <w:szCs w:val="21"/>
              </w:rPr>
              <w:t>（九）损毁树木支架、栏杆、标识标牌、绿地内的座椅、垃圾箱、照明设施等绿化设施和公共设施；</w:t>
            </w:r>
            <w:r>
              <w:rPr>
                <w:rFonts w:ascii="Times New Roman" w:hAnsi="Times New Roman"/>
                <w:color w:val="000000"/>
                <w:kern w:val="0"/>
                <w:szCs w:val="21"/>
              </w:rPr>
              <w:br w:type="textWrapping"/>
            </w:r>
            <w:r>
              <w:rPr>
                <w:rFonts w:ascii="Times New Roman" w:hAnsi="宋体"/>
                <w:color w:val="000000"/>
                <w:kern w:val="0"/>
                <w:szCs w:val="21"/>
              </w:rPr>
              <w:t>（十）在公园绿地非指定区域甩鞭、轮滑、放风筝等；</w:t>
            </w:r>
            <w:r>
              <w:rPr>
                <w:rFonts w:ascii="Times New Roman" w:hAnsi="Times New Roman"/>
                <w:color w:val="000000"/>
                <w:kern w:val="0"/>
                <w:szCs w:val="21"/>
              </w:rPr>
              <w:t xml:space="preserve"> </w:t>
            </w:r>
            <w:r>
              <w:rPr>
                <w:rFonts w:ascii="Times New Roman" w:hAnsi="Times New Roman"/>
                <w:color w:val="000000"/>
                <w:kern w:val="0"/>
                <w:szCs w:val="21"/>
              </w:rPr>
              <w:br w:type="textWrapping"/>
            </w:r>
            <w:r>
              <w:rPr>
                <w:rFonts w:ascii="Times New Roman" w:hAnsi="宋体"/>
                <w:color w:val="000000"/>
                <w:kern w:val="0"/>
                <w:szCs w:val="21"/>
              </w:rPr>
              <w:t>（十一）其他损害城市绿化的行为。</w:t>
            </w:r>
            <w:r>
              <w:rPr>
                <w:rFonts w:ascii="Times New Roman" w:hAnsi="Times New Roman"/>
                <w:color w:val="000000"/>
                <w:kern w:val="0"/>
                <w:szCs w:val="21"/>
              </w:rPr>
              <w:br w:type="textWrapping"/>
            </w:r>
            <w:r>
              <w:rPr>
                <w:rFonts w:ascii="Times New Roman" w:hAnsi="宋体"/>
                <w:color w:val="000000"/>
                <w:kern w:val="0"/>
                <w:szCs w:val="21"/>
              </w:rPr>
              <w:t>第三十八条：违反本条例第二十九条规定，损害城市绿化的，由城市绿化主管部门责令停止违法行为，恢复原状，造成损失的，承担赔偿责任，可以处损失费三倍以上五倍以下罚款；未造成损失的，可以处五十元以上五百元以下罚款。</w:t>
            </w:r>
          </w:p>
        </w:tc>
        <w:tc>
          <w:tcPr>
            <w:tcW w:w="1260" w:type="dxa"/>
            <w:shd w:val="clear" w:color="auto" w:fill="auto"/>
            <w:noWrap w:val="0"/>
            <w:vAlign w:val="center"/>
          </w:tcPr>
          <w:p>
            <w:pPr>
              <w:widowControl/>
              <w:spacing w:line="280" w:lineRule="exact"/>
              <w:jc w:val="center"/>
              <w:rPr>
                <w:rFonts w:ascii="Times New Roman" w:hAnsi="Times New Roman"/>
                <w:color w:val="000000"/>
                <w:kern w:val="0"/>
                <w:szCs w:val="21"/>
              </w:rPr>
            </w:pPr>
          </w:p>
        </w:tc>
        <w:tc>
          <w:tcPr>
            <w:tcW w:w="150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造成损失的，承担赔偿责任，可以处损失费三倍以上五倍以下罚款；未造成损失的，可以处五十元以上五百元以下罚款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20" w:hRule="atLeast"/>
          <w:jc w:val="center"/>
        </w:trPr>
        <w:tc>
          <w:tcPr>
            <w:tcW w:w="60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8</w:t>
            </w:r>
          </w:p>
        </w:tc>
        <w:tc>
          <w:tcPr>
            <w:tcW w:w="1460" w:type="dxa"/>
            <w:shd w:val="clear" w:color="auto" w:fill="auto"/>
            <w:noWrap w:val="0"/>
            <w:vAlign w:val="center"/>
          </w:tcPr>
          <w:p>
            <w:pPr>
              <w:widowControl/>
              <w:spacing w:line="280" w:lineRule="exact"/>
              <w:jc w:val="center"/>
              <w:rPr>
                <w:rFonts w:hint="eastAsia" w:ascii="Times New Roman" w:hAnsi="宋体"/>
                <w:color w:val="000000"/>
                <w:kern w:val="0"/>
                <w:szCs w:val="21"/>
              </w:rPr>
            </w:pPr>
            <w:r>
              <w:rPr>
                <w:rFonts w:ascii="Times New Roman" w:hAnsi="宋体"/>
                <w:color w:val="000000"/>
                <w:kern w:val="0"/>
                <w:szCs w:val="21"/>
              </w:rPr>
              <w:t>城市绿化</w:t>
            </w:r>
          </w:p>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主管部门</w:t>
            </w:r>
          </w:p>
        </w:tc>
        <w:tc>
          <w:tcPr>
            <w:tcW w:w="112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行政确认</w:t>
            </w:r>
          </w:p>
        </w:tc>
        <w:tc>
          <w:tcPr>
            <w:tcW w:w="252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对城市绿化管理责任不清或者有争议的绿化管理责任人的确认</w:t>
            </w:r>
          </w:p>
        </w:tc>
        <w:tc>
          <w:tcPr>
            <w:tcW w:w="506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【地方性法规】</w:t>
            </w:r>
            <w:r>
              <w:rPr>
                <w:rFonts w:ascii="Times New Roman" w:hAnsi="Times New Roman"/>
                <w:color w:val="000000"/>
                <w:kern w:val="0"/>
                <w:szCs w:val="21"/>
              </w:rPr>
              <w:br w:type="textWrapping"/>
            </w:r>
            <w:r>
              <w:rPr>
                <w:rFonts w:ascii="Times New Roman" w:hAnsi="宋体"/>
                <w:color w:val="000000"/>
                <w:kern w:val="0"/>
                <w:szCs w:val="21"/>
              </w:rPr>
              <w:t>《常州市城市绿化条例》第二十三条第三款：城市绿化管理责任不清或者有争议的，由城市绿化主管部门按照有利于绿化保护和管理的原则明确绿化管理责任人。</w:t>
            </w:r>
          </w:p>
        </w:tc>
        <w:tc>
          <w:tcPr>
            <w:tcW w:w="1260" w:type="dxa"/>
            <w:shd w:val="clear" w:color="auto" w:fill="auto"/>
            <w:noWrap w:val="0"/>
            <w:vAlign w:val="center"/>
          </w:tcPr>
          <w:p>
            <w:pPr>
              <w:widowControl/>
              <w:spacing w:line="280" w:lineRule="exact"/>
              <w:jc w:val="center"/>
              <w:rPr>
                <w:rFonts w:ascii="Times New Roman" w:hAnsi="Times New Roman"/>
                <w:color w:val="000000"/>
                <w:kern w:val="0"/>
                <w:szCs w:val="21"/>
              </w:rPr>
            </w:pPr>
          </w:p>
        </w:tc>
        <w:tc>
          <w:tcPr>
            <w:tcW w:w="150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城市绿化管理责任不清或者有争议的，由城市绿化主管部门按照有利于绿化保护和管理的原则明确绿化管理责任人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0" w:hRule="atLeast"/>
          <w:jc w:val="center"/>
        </w:trPr>
        <w:tc>
          <w:tcPr>
            <w:tcW w:w="60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9</w:t>
            </w:r>
          </w:p>
        </w:tc>
        <w:tc>
          <w:tcPr>
            <w:tcW w:w="1460" w:type="dxa"/>
            <w:shd w:val="clear" w:color="auto" w:fill="auto"/>
            <w:noWrap w:val="0"/>
            <w:vAlign w:val="center"/>
          </w:tcPr>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城管部门</w:t>
            </w:r>
          </w:p>
        </w:tc>
        <w:tc>
          <w:tcPr>
            <w:tcW w:w="112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行政处罚</w:t>
            </w:r>
          </w:p>
        </w:tc>
        <w:tc>
          <w:tcPr>
            <w:tcW w:w="252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对在焦溪古镇保护范围内的非指定地点摆摊设点的处罚</w:t>
            </w:r>
          </w:p>
        </w:tc>
        <w:tc>
          <w:tcPr>
            <w:tcW w:w="506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【地方性法规】</w:t>
            </w:r>
            <w:r>
              <w:rPr>
                <w:rFonts w:ascii="Times New Roman" w:hAnsi="Times New Roman"/>
                <w:color w:val="000000"/>
                <w:kern w:val="0"/>
                <w:szCs w:val="21"/>
              </w:rPr>
              <w:br w:type="textWrapping"/>
            </w:r>
            <w:r>
              <w:rPr>
                <w:rFonts w:ascii="Times New Roman" w:hAnsi="宋体"/>
                <w:color w:val="000000"/>
                <w:kern w:val="0"/>
                <w:szCs w:val="21"/>
              </w:rPr>
              <w:t>《常州市焦溪古镇保护条例》第十五条第九项：</w:t>
            </w:r>
            <w:r>
              <w:rPr>
                <w:rFonts w:ascii="Times New Roman" w:hAnsi="Times New Roman"/>
                <w:color w:val="000000"/>
                <w:kern w:val="0"/>
                <w:szCs w:val="21"/>
              </w:rPr>
              <w:t xml:space="preserve"> </w:t>
            </w:r>
            <w:r>
              <w:rPr>
                <w:rFonts w:ascii="Times New Roman" w:hAnsi="宋体"/>
                <w:color w:val="000000"/>
                <w:kern w:val="0"/>
                <w:szCs w:val="21"/>
              </w:rPr>
              <w:t>在焦溪古镇保护范围内禁止以下行为：（九）在非指定区域摆摊设点；第三十二条：</w:t>
            </w:r>
            <w:r>
              <w:rPr>
                <w:rFonts w:ascii="Times New Roman" w:hAnsi="Times New Roman"/>
                <w:color w:val="000000"/>
                <w:kern w:val="0"/>
                <w:szCs w:val="21"/>
              </w:rPr>
              <w:t xml:space="preserve"> </w:t>
            </w:r>
            <w:r>
              <w:rPr>
                <w:rFonts w:ascii="Times New Roman" w:hAnsi="宋体"/>
                <w:color w:val="000000"/>
                <w:kern w:val="0"/>
                <w:szCs w:val="21"/>
              </w:rPr>
              <w:t>违反本条例第十五条第九项规定，在非指定区域摆摊设点的，由城市管理部门责令停止违法行为；拒不改正的，处五十元以上五百元以下罚款。</w:t>
            </w:r>
          </w:p>
        </w:tc>
        <w:tc>
          <w:tcPr>
            <w:tcW w:w="1260" w:type="dxa"/>
            <w:shd w:val="clear" w:color="auto" w:fill="auto"/>
            <w:noWrap w:val="0"/>
            <w:vAlign w:val="center"/>
          </w:tcPr>
          <w:p>
            <w:pPr>
              <w:widowControl/>
              <w:spacing w:line="280" w:lineRule="exact"/>
              <w:jc w:val="center"/>
              <w:rPr>
                <w:rFonts w:ascii="Times New Roman" w:hAnsi="Times New Roman"/>
                <w:color w:val="000000"/>
                <w:kern w:val="0"/>
                <w:szCs w:val="21"/>
              </w:rPr>
            </w:pPr>
          </w:p>
        </w:tc>
        <w:tc>
          <w:tcPr>
            <w:tcW w:w="1500" w:type="dxa"/>
            <w:shd w:val="clear" w:color="auto" w:fill="auto"/>
            <w:noWrap w:val="0"/>
            <w:vAlign w:val="center"/>
          </w:tcPr>
          <w:p>
            <w:pPr>
              <w:widowControl/>
              <w:adjustRightInd w:val="0"/>
              <w:snapToGrid w:val="0"/>
              <w:spacing w:line="280" w:lineRule="exact"/>
              <w:ind w:left="-57" w:right="-57"/>
              <w:rPr>
                <w:rFonts w:ascii="Times New Roman" w:hAnsi="宋体"/>
                <w:color w:val="000000"/>
                <w:spacing w:val="-4"/>
                <w:kern w:val="0"/>
                <w:szCs w:val="21"/>
              </w:rPr>
            </w:pPr>
            <w:r>
              <w:rPr>
                <w:rFonts w:ascii="Times New Roman" w:hAnsi="宋体"/>
                <w:color w:val="000000"/>
                <w:spacing w:val="-4"/>
                <w:kern w:val="0"/>
                <w:szCs w:val="21"/>
              </w:rPr>
              <w:t>处五十元以上五百元以下罚款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30" w:hRule="atLeast"/>
          <w:jc w:val="center"/>
        </w:trPr>
        <w:tc>
          <w:tcPr>
            <w:tcW w:w="60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10</w:t>
            </w:r>
          </w:p>
        </w:tc>
        <w:tc>
          <w:tcPr>
            <w:tcW w:w="1460" w:type="dxa"/>
            <w:shd w:val="clear" w:color="auto" w:fill="auto"/>
            <w:noWrap w:val="0"/>
            <w:vAlign w:val="center"/>
          </w:tcPr>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城管部门</w:t>
            </w:r>
          </w:p>
        </w:tc>
        <w:tc>
          <w:tcPr>
            <w:tcW w:w="1120" w:type="dxa"/>
            <w:shd w:val="clear" w:color="auto" w:fill="auto"/>
            <w:noWrap/>
            <w:vAlign w:val="center"/>
          </w:tcPr>
          <w:p>
            <w:pPr>
              <w:widowControl/>
              <w:spacing w:line="280" w:lineRule="exact"/>
              <w:jc w:val="center"/>
              <w:rPr>
                <w:rFonts w:ascii="Times New Roman" w:hAnsi="Times New Roman"/>
                <w:color w:val="000000"/>
                <w:kern w:val="0"/>
                <w:szCs w:val="21"/>
              </w:rPr>
            </w:pPr>
            <w:r>
              <w:rPr>
                <w:rFonts w:ascii="Times New Roman" w:hAnsi="宋体"/>
                <w:color w:val="000000"/>
                <w:kern w:val="0"/>
                <w:szCs w:val="21"/>
              </w:rPr>
              <w:t>行政处罚</w:t>
            </w:r>
          </w:p>
        </w:tc>
        <w:tc>
          <w:tcPr>
            <w:tcW w:w="252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对未按照导则设置相关设施设备对焦溪古镇历史风貌造成破坏的的处罚</w:t>
            </w:r>
          </w:p>
        </w:tc>
        <w:tc>
          <w:tcPr>
            <w:tcW w:w="5060" w:type="dxa"/>
            <w:shd w:val="clear" w:color="auto" w:fill="auto"/>
            <w:noWrap w:val="0"/>
            <w:vAlign w:val="center"/>
          </w:tcPr>
          <w:p>
            <w:pPr>
              <w:widowControl/>
              <w:spacing w:line="280" w:lineRule="exact"/>
              <w:rPr>
                <w:rFonts w:ascii="Times New Roman" w:hAnsi="Times New Roman"/>
                <w:color w:val="000000"/>
                <w:kern w:val="0"/>
                <w:szCs w:val="21"/>
              </w:rPr>
            </w:pPr>
            <w:r>
              <w:rPr>
                <w:rFonts w:ascii="Times New Roman" w:hAnsi="宋体"/>
                <w:color w:val="000000"/>
                <w:kern w:val="0"/>
                <w:szCs w:val="21"/>
              </w:rPr>
              <w:t>【地方性法规】</w:t>
            </w:r>
            <w:r>
              <w:rPr>
                <w:rFonts w:ascii="Times New Roman" w:hAnsi="Times New Roman"/>
                <w:color w:val="000000"/>
                <w:kern w:val="0"/>
                <w:szCs w:val="21"/>
              </w:rPr>
              <w:br w:type="textWrapping"/>
            </w:r>
            <w:r>
              <w:rPr>
                <w:rFonts w:ascii="Times New Roman" w:hAnsi="宋体"/>
                <w:color w:val="000000"/>
                <w:kern w:val="0"/>
                <w:szCs w:val="21"/>
              </w:rPr>
              <w:t>《常州市焦溪古镇保护条例》第十七条：在焦溪古镇保护范围内不得新设架空线路。设置招牌、广告设施、霓虹灯，安装空调、太阳能设备、遮雨棚等，应当与古镇历史风貌相协调。古镇保护机构应当在相关部门的指导下组织编制前款设施设备的设置导则。焦溪古镇保护范围内的相关单位和个人应当按照导则进行设置，古镇保护机构应当予以指导；第三十三条</w:t>
            </w:r>
            <w:r>
              <w:rPr>
                <w:rFonts w:ascii="Times New Roman" w:hAnsi="Times New Roman"/>
                <w:color w:val="000000"/>
                <w:kern w:val="0"/>
                <w:szCs w:val="21"/>
              </w:rPr>
              <w:t>:</w:t>
            </w:r>
            <w:r>
              <w:rPr>
                <w:rFonts w:ascii="Times New Roman" w:hAnsi="宋体"/>
                <w:color w:val="000000"/>
                <w:kern w:val="0"/>
                <w:szCs w:val="21"/>
              </w:rPr>
              <w:t>违反本条例第十七条规定，未按照导则设置相关设施设备，对焦溪古镇历史风貌造成破坏的，由城市管理部门责令限期改正；逾期不改正的，处一百元以上一千元以下罚款。</w:t>
            </w:r>
          </w:p>
        </w:tc>
        <w:tc>
          <w:tcPr>
            <w:tcW w:w="1260" w:type="dxa"/>
            <w:shd w:val="clear" w:color="auto" w:fill="auto"/>
            <w:noWrap w:val="0"/>
            <w:vAlign w:val="center"/>
          </w:tcPr>
          <w:p>
            <w:pPr>
              <w:widowControl/>
              <w:spacing w:line="280" w:lineRule="exact"/>
              <w:jc w:val="center"/>
              <w:rPr>
                <w:rFonts w:ascii="Times New Roman" w:hAnsi="Times New Roman"/>
                <w:color w:val="000000"/>
                <w:kern w:val="0"/>
                <w:szCs w:val="21"/>
              </w:rPr>
            </w:pPr>
          </w:p>
        </w:tc>
        <w:tc>
          <w:tcPr>
            <w:tcW w:w="1500" w:type="dxa"/>
            <w:shd w:val="clear" w:color="auto" w:fill="auto"/>
            <w:noWrap w:val="0"/>
            <w:vAlign w:val="center"/>
          </w:tcPr>
          <w:p>
            <w:pPr>
              <w:widowControl/>
              <w:adjustRightInd w:val="0"/>
              <w:snapToGrid w:val="0"/>
              <w:spacing w:line="280" w:lineRule="exact"/>
              <w:ind w:left="-57" w:right="-57"/>
              <w:rPr>
                <w:rFonts w:ascii="Times New Roman" w:hAnsi="宋体"/>
                <w:color w:val="000000"/>
                <w:spacing w:val="-4"/>
                <w:kern w:val="0"/>
                <w:szCs w:val="21"/>
              </w:rPr>
            </w:pPr>
            <w:r>
              <w:rPr>
                <w:rFonts w:ascii="Times New Roman" w:hAnsi="宋体"/>
                <w:color w:val="000000"/>
                <w:spacing w:val="-4"/>
                <w:kern w:val="0"/>
                <w:szCs w:val="21"/>
              </w:rPr>
              <w:t>处一百元以上一千元以下罚款</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10027"/>
    <w:rsid w:val="06D10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2021-06-29T02:39:00Z</dcterms:created>
  <dc:creator>Administrator</dc:creator>
  <cp:lastModifiedBy>Administrator</cp:lastModifiedBy>
  <dcterms:modified xsi:type="dcterms:W3CDTF">2021-06-29T02:41:03Z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464732D27209430E8C2FC58507D07BA4</vt:lpwstr>
  </property>
</Properties>
</file>